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39275D" w:rsidP="00675604">
      <w:pPr>
        <w:spacing w:line="276" w:lineRule="auto"/>
        <w:jc w:val="both"/>
      </w:pPr>
      <w:r>
        <w:rPr>
          <w:b/>
          <w:i/>
          <w:color w:val="000000"/>
        </w:rPr>
        <w:t>Expert dezvoltare comunitate</w:t>
      </w:r>
      <w:r w:rsidR="0036136D"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2603FA">
        <w:t>14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39275D">
        <w:t>7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225A91">
        <w:rPr>
          <w:lang w:eastAsia="ro-RO"/>
        </w:rPr>
        <w:t>s</w:t>
      </w:r>
      <w:r w:rsidR="00225A91" w:rsidRPr="00FB753A">
        <w:rPr>
          <w:lang w:eastAsia="ro-RO"/>
        </w:rPr>
        <w:t xml:space="preserve">tudii </w:t>
      </w:r>
      <w:r w:rsidR="002603FA">
        <w:rPr>
          <w:lang w:eastAsia="ro-RO"/>
        </w:rPr>
        <w:t>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570BE">
        <w:rPr>
          <w:lang w:eastAsia="ro-RO"/>
        </w:rPr>
        <w:t>-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675604">
        <w:rPr>
          <w:lang w:eastAsia="ro-RO"/>
        </w:rPr>
        <w:t>c</w:t>
      </w:r>
      <w:r w:rsidR="00A4349B">
        <w:rPr>
          <w:lang w:eastAsia="ro-RO"/>
        </w:rPr>
        <w:t>ompetențe lingvistice</w:t>
      </w:r>
      <w:r w:rsidR="00675604" w:rsidRPr="00675604">
        <w:rPr>
          <w:lang w:eastAsia="ro-RO"/>
        </w:rPr>
        <w:t xml:space="preserve"> - cunoașterea limbii engleze;</w:t>
      </w:r>
      <w:r w:rsidR="00675604">
        <w:rPr>
          <w:lang w:eastAsia="ro-RO"/>
        </w:rPr>
        <w:t xml:space="preserve"> a</w:t>
      </w:r>
      <w:r w:rsidR="00675604" w:rsidRPr="00675604">
        <w:rPr>
          <w:lang w:eastAsia="ro-RO"/>
        </w:rPr>
        <w:t xml:space="preserve">bilități de </w:t>
      </w:r>
      <w:r w:rsidR="0039275D">
        <w:rPr>
          <w:lang w:eastAsia="ro-RO"/>
        </w:rPr>
        <w:t>networking, comunicare și organizarea de evenimente</w:t>
      </w:r>
      <w:r w:rsidR="0065155C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6570BE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570BE">
        <w:rPr>
          <w:lang w:eastAsia="ro-RO"/>
        </w:rPr>
        <w:t>Antreprenoriat, teorie si practica</w:t>
      </w:r>
      <w:r>
        <w:rPr>
          <w:lang w:eastAsia="ro-RO"/>
        </w:rPr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36136D" w:rsidRPr="0049668B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lastRenderedPageBreak/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</w:t>
      </w:r>
      <w:r w:rsidR="006570BE">
        <w:t>în domeniul antreprenoriatului);</w:t>
      </w:r>
    </w:p>
    <w:p w:rsidR="006570BE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>
        <w:t>Dragușin</w:t>
      </w:r>
      <w:r w:rsidRPr="006570BE">
        <w:t xml:space="preserve"> </w:t>
      </w:r>
      <w:r>
        <w:t>Mariana</w:t>
      </w:r>
      <w:r w:rsidRPr="006570BE">
        <w:t xml:space="preserve"> </w:t>
      </w:r>
      <w:r>
        <w:t xml:space="preserve">(coord) - </w:t>
      </w:r>
      <w:r w:rsidRPr="006570BE">
        <w:t>Antreprenoriat, teorie si practica</w:t>
      </w:r>
      <w:r>
        <w:t>, Editura ASE, București, 2019;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  <w:r w:rsidR="006570BE">
        <w:t>;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  <w:r w:rsidR="006570BE">
        <w:t>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  <w:bookmarkStart w:id="0" w:name="_GoBack"/>
            <w:bookmarkEnd w:id="0"/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39" w:rsidRDefault="00080C39" w:rsidP="00776F98">
      <w:r>
        <w:separator/>
      </w:r>
    </w:p>
  </w:endnote>
  <w:endnote w:type="continuationSeparator" w:id="0">
    <w:p w:rsidR="00080C39" w:rsidRDefault="00080C3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39" w:rsidRDefault="00080C39" w:rsidP="00776F98">
      <w:r>
        <w:separator/>
      </w:r>
    </w:p>
  </w:footnote>
  <w:footnote w:type="continuationSeparator" w:id="0">
    <w:p w:rsidR="00080C39" w:rsidRDefault="00080C3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19</cp:revision>
  <dcterms:created xsi:type="dcterms:W3CDTF">2018-07-10T10:54:00Z</dcterms:created>
  <dcterms:modified xsi:type="dcterms:W3CDTF">2020-04-21T23:57:00Z</dcterms:modified>
</cp:coreProperties>
</file>