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1037D7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Responsabil </w:t>
      </w:r>
      <w:r w:rsidR="009D66D2">
        <w:rPr>
          <w:b/>
          <w:i/>
          <w:color w:val="000000"/>
        </w:rPr>
        <w:t>achiziții</w:t>
      </w:r>
      <w:r w:rsidR="00737513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9D66D2">
        <w:t>8</w:t>
      </w:r>
      <w:r w:rsidR="00EB0DB5">
        <w:t xml:space="preserve"> </w:t>
      </w:r>
      <w:r w:rsidR="00675604">
        <w:t>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9D66D2">
        <w:t>4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1037D7">
        <w:rPr>
          <w:lang w:eastAsia="ro-RO"/>
        </w:rPr>
        <w:t>studii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C06D90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1037D7">
        <w:rPr>
          <w:lang w:eastAsia="ro-RO"/>
        </w:rPr>
        <w:t xml:space="preserve">minim </w:t>
      </w:r>
      <w:r w:rsidR="00C06D90">
        <w:rPr>
          <w:lang w:eastAsia="ro-RO"/>
        </w:rPr>
        <w:t>6 luni</w:t>
      </w:r>
    </w:p>
    <w:p w:rsidR="00776F98" w:rsidRPr="0049668B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9D66D2">
        <w:t>experiență în domeniul achizițiilor</w:t>
      </w:r>
      <w:r w:rsidR="00043CD8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9D66D2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:rsidR="009D66D2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Cunoașterea şi aplicarea, în conformitate cu prevederile legale în vigoare, a procedurilor specifice care stau la baza atribuirii contractelor de achiziţii publice sau după caz, a modalităţilor de atribuire, inclusiv modalitatea specială de atribuire – acord cadru, sistem dinamic de achiziție, licitație electronică.</w:t>
      </w:r>
    </w:p>
    <w:p w:rsidR="009D66D2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Cunoaşterea modului de operare a platformei electronice SEAP (Sistemul Electronic de Achiziţii Publice).</w:t>
      </w:r>
    </w:p>
    <w:p w:rsidR="009D66D2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Cunoaşterea şi aplicarea remediilor şi a căilor de atac în materie de atribuire a contractelor de achiziţie publică precum şi a modului de organizare şi de funcţionare a Consiliului Naţional de Soluţionare a Contestaţiilor</w:t>
      </w:r>
      <w:r>
        <w:rPr>
          <w:lang w:eastAsia="ro-RO"/>
        </w:rPr>
        <w:t>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9D66D2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>
        <w:t>LEGEA Nr. 98/2016 din 19 mai 2016 privind achiziţiile publice - publicată în: MONITORUL OFICIAL NR. 390 din 23 mai 2016 , cu modificări și completări</w:t>
      </w:r>
    </w:p>
    <w:p w:rsidR="009D66D2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:rsidR="009D66D2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:rsidR="009D66D2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>
        <w:t>Instrucțiuni ANAP, site-ul: http://anap.gov.ro/web/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89" w:rsidRDefault="004B4389" w:rsidP="00776F98">
      <w:r>
        <w:separator/>
      </w:r>
    </w:p>
  </w:endnote>
  <w:endnote w:type="continuationSeparator" w:id="0">
    <w:p w:rsidR="004B4389" w:rsidRDefault="004B438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89" w:rsidRDefault="004B4389" w:rsidP="00776F98">
      <w:r>
        <w:separator/>
      </w:r>
    </w:p>
  </w:footnote>
  <w:footnote w:type="continuationSeparator" w:id="0">
    <w:p w:rsidR="004B4389" w:rsidRDefault="004B438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B4389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D66D2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C01282"/>
    <w:rsid w:val="00C05BA6"/>
    <w:rsid w:val="00C06D90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D"/>
    <w:rsid w:val="00E8163C"/>
    <w:rsid w:val="00EB0DB5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21</cp:revision>
  <dcterms:created xsi:type="dcterms:W3CDTF">2018-07-10T10:54:00Z</dcterms:created>
  <dcterms:modified xsi:type="dcterms:W3CDTF">2020-04-22T12:30:00Z</dcterms:modified>
</cp:coreProperties>
</file>