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39275D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Expert </w:t>
      </w:r>
      <w:r w:rsidR="005D0878" w:rsidRPr="005D0878">
        <w:rPr>
          <w:b/>
          <w:i/>
          <w:color w:val="000000"/>
        </w:rPr>
        <w:t>comunicare</w:t>
      </w:r>
      <w:r w:rsidR="0036136D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603FA">
        <w:t>1</w:t>
      </w:r>
      <w:r w:rsidR="00565723">
        <w:t>8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39275D">
        <w:t>7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  <w:bookmarkStart w:id="0" w:name="_GoBack"/>
      <w:bookmarkEnd w:id="0"/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D272D6">
        <w:rPr>
          <w:lang w:eastAsia="ro-RO"/>
        </w:rPr>
        <w:t>s</w:t>
      </w:r>
      <w:r w:rsidR="00D272D6" w:rsidRPr="00FB753A">
        <w:rPr>
          <w:lang w:eastAsia="ro-RO"/>
        </w:rPr>
        <w:t xml:space="preserve">tudii </w:t>
      </w:r>
      <w:r w:rsidR="00D272D6">
        <w:rPr>
          <w:lang w:eastAsia="ro-RO"/>
        </w:rPr>
        <w:t>medii sau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</w:t>
      </w:r>
      <w:r w:rsidR="005D0878">
        <w:rPr>
          <w:lang w:eastAsia="ro-RO"/>
        </w:rPr>
        <w:t>abilități bune de comunicare, concepție grafică, utilizare platforme de socializare și actualizare pagini web</w:t>
      </w:r>
      <w:r w:rsidR="0065155C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EC" w:rsidRDefault="00E817EC" w:rsidP="00776F98">
      <w:r>
        <w:separator/>
      </w:r>
    </w:p>
  </w:endnote>
  <w:endnote w:type="continuationSeparator" w:id="0">
    <w:p w:rsidR="00E817EC" w:rsidRDefault="00E817E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EC" w:rsidRDefault="00E817EC" w:rsidP="00776F98">
      <w:r>
        <w:separator/>
      </w:r>
    </w:p>
  </w:footnote>
  <w:footnote w:type="continuationSeparator" w:id="0">
    <w:p w:rsidR="00E817EC" w:rsidRDefault="00E817E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5D087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272D6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E817E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22</cp:revision>
  <dcterms:created xsi:type="dcterms:W3CDTF">2018-07-10T10:54:00Z</dcterms:created>
  <dcterms:modified xsi:type="dcterms:W3CDTF">2020-04-22T00:26:00Z</dcterms:modified>
</cp:coreProperties>
</file>