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59" w:rsidRDefault="002F296F">
      <w:pPr>
        <w:spacing w:after="120" w:line="276" w:lineRule="auto"/>
        <w:jc w:val="both"/>
      </w:pPr>
      <w:r>
        <w:t>Academia de Studii Economice din Bucureşti</w:t>
      </w:r>
    </w:p>
    <w:p w:rsidR="00195E59" w:rsidRDefault="00195E59">
      <w:pPr>
        <w:spacing w:after="120" w:line="276" w:lineRule="auto"/>
        <w:jc w:val="center"/>
        <w:rPr>
          <w:b/>
        </w:rPr>
      </w:pPr>
    </w:p>
    <w:p w:rsidR="00195E59" w:rsidRDefault="002F296F">
      <w:pPr>
        <w:spacing w:after="120" w:line="276" w:lineRule="auto"/>
        <w:jc w:val="center"/>
        <w:rPr>
          <w:b/>
        </w:rPr>
      </w:pPr>
      <w:r>
        <w:rPr>
          <w:b/>
        </w:rPr>
        <w:t>ANUNŢ</w:t>
      </w:r>
    </w:p>
    <w:p w:rsidR="00195E59" w:rsidRDefault="00195E59">
      <w:pPr>
        <w:spacing w:after="120" w:line="276" w:lineRule="auto"/>
        <w:jc w:val="both"/>
      </w:pPr>
    </w:p>
    <w:p w:rsidR="00195E59" w:rsidRDefault="002F296F">
      <w:pPr>
        <w:spacing w:line="276" w:lineRule="auto"/>
        <w:jc w:val="both"/>
      </w:pPr>
      <w:r>
        <w:t>Academia de Studii Economice din Bucureşti organizează concurs pentru ocuparea posturilor de membri ai echipei proiectului “</w:t>
      </w:r>
      <w:r w:rsidR="00992E3F" w:rsidRPr="00992E3F">
        <w:t>O abordare alternativ</w:t>
      </w:r>
      <w:r w:rsidR="00992E3F">
        <w:t>ă</w:t>
      </w:r>
      <w:r w:rsidR="00992E3F" w:rsidRPr="00992E3F">
        <w:t xml:space="preserve"> pentru modelarea bulelor speculative: implica</w:t>
      </w:r>
      <w:r w:rsidR="00992E3F">
        <w:t>ț</w:t>
      </w:r>
      <w:r w:rsidR="00992E3F" w:rsidRPr="00992E3F">
        <w:t>ii asupra stabilit</w:t>
      </w:r>
      <w:r w:rsidR="00992E3F">
        <w:t>ăț</w:t>
      </w:r>
      <w:r w:rsidR="00992E3F" w:rsidRPr="00992E3F">
        <w:t>ii financiare</w:t>
      </w:r>
      <w:r>
        <w:t xml:space="preserve">”  </w:t>
      </w:r>
      <w:r>
        <w:rPr>
          <w:b/>
        </w:rPr>
        <w:t xml:space="preserve"> </w:t>
      </w:r>
    </w:p>
    <w:p w:rsidR="00195E59" w:rsidRDefault="00195E59">
      <w:pPr>
        <w:spacing w:line="360" w:lineRule="auto"/>
        <w:jc w:val="both"/>
      </w:pPr>
    </w:p>
    <w:tbl>
      <w:tblPr>
        <w:tblStyle w:val="a"/>
        <w:tblW w:w="8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32"/>
        <w:gridCol w:w="2737"/>
        <w:gridCol w:w="1417"/>
      </w:tblGrid>
      <w:tr w:rsidR="00195E59">
        <w:trPr>
          <w:tblHeader/>
        </w:trPr>
        <w:tc>
          <w:tcPr>
            <w:tcW w:w="1134" w:type="dxa"/>
          </w:tcPr>
          <w:p w:rsidR="00195E59" w:rsidRDefault="002F296F">
            <w:pPr>
              <w:rPr>
                <w:b/>
              </w:rPr>
            </w:pPr>
            <w:r>
              <w:rPr>
                <w:b/>
              </w:rPr>
              <w:t>Nr. post</w:t>
            </w:r>
          </w:p>
        </w:tc>
        <w:tc>
          <w:tcPr>
            <w:tcW w:w="3032" w:type="dxa"/>
            <w:shd w:val="clear" w:color="auto" w:fill="auto"/>
          </w:tcPr>
          <w:p w:rsidR="00195E59" w:rsidRDefault="002F296F">
            <w:pPr>
              <w:rPr>
                <w:b/>
              </w:rPr>
            </w:pPr>
            <w:r>
              <w:rPr>
                <w:b/>
              </w:rPr>
              <w:t xml:space="preserve">Denumire funcție </w:t>
            </w:r>
          </w:p>
        </w:tc>
        <w:tc>
          <w:tcPr>
            <w:tcW w:w="273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Perioada necesar a fi lucrată în cadrul proiectului</w:t>
            </w:r>
          </w:p>
        </w:tc>
        <w:tc>
          <w:tcPr>
            <w:tcW w:w="141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Număr de ore / lună lucrate</w:t>
            </w:r>
          </w:p>
        </w:tc>
      </w:tr>
      <w:tr w:rsidR="00195E59">
        <w:tc>
          <w:tcPr>
            <w:tcW w:w="1134" w:type="dxa"/>
          </w:tcPr>
          <w:p w:rsidR="00195E59" w:rsidRDefault="002F296F">
            <w:r>
              <w:t>1</w:t>
            </w:r>
          </w:p>
        </w:tc>
        <w:tc>
          <w:tcPr>
            <w:tcW w:w="3032" w:type="dxa"/>
            <w:shd w:val="clear" w:color="auto" w:fill="auto"/>
          </w:tcPr>
          <w:p w:rsidR="00195E59" w:rsidRDefault="00F36490" w:rsidP="00AF2A9C">
            <w:r>
              <w:t xml:space="preserve">Membru </w:t>
            </w:r>
            <w:r w:rsidR="00AF2A9C">
              <w:t>–</w:t>
            </w:r>
            <w:r>
              <w:t xml:space="preserve"> </w:t>
            </w:r>
            <w:r w:rsidR="00AF2A9C">
              <w:t xml:space="preserve">cercetător în formare </w:t>
            </w:r>
            <w:r w:rsidR="002F296F">
              <w:t>(</w:t>
            </w:r>
            <w:r>
              <w:t>2</w:t>
            </w:r>
            <w:r w:rsidR="002F296F">
              <w:t xml:space="preserve"> post</w:t>
            </w:r>
            <w:r>
              <w:t>uri</w:t>
            </w:r>
            <w:r w:rsidR="002F296F">
              <w:t>)</w:t>
            </w:r>
          </w:p>
        </w:tc>
        <w:tc>
          <w:tcPr>
            <w:tcW w:w="273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Până la </w:t>
            </w:r>
            <w:r w:rsidR="00F36490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  <w:r w:rsidR="00F36490">
              <w:rPr>
                <w:color w:val="000000"/>
              </w:rPr>
              <w:t>04</w:t>
            </w:r>
            <w:r>
              <w:rPr>
                <w:color w:val="000000"/>
              </w:rPr>
              <w:t>.202</w:t>
            </w:r>
            <w:r w:rsidR="00F36490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195E59" w:rsidRDefault="00195E59">
      <w:pPr>
        <w:spacing w:line="360" w:lineRule="auto"/>
        <w:jc w:val="both"/>
      </w:pPr>
    </w:p>
    <w:p w:rsidR="00195E59" w:rsidRDefault="002F296F">
      <w:pPr>
        <w:spacing w:after="24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A.</w:t>
      </w:r>
      <w:r>
        <w:rPr>
          <w:color w:val="000000"/>
          <w:u w:val="single"/>
        </w:rPr>
        <w:t xml:space="preserve"> Pentru participarea la concurs, candidaţii trebuie să îndeplinească următoarele </w:t>
      </w:r>
      <w:r>
        <w:rPr>
          <w:b/>
          <w:color w:val="000000"/>
          <w:u w:val="single"/>
        </w:rPr>
        <w:t>condiţii generale şi condiţii specifice</w:t>
      </w:r>
      <w:r>
        <w:rPr>
          <w:color w:val="000000"/>
          <w:u w:val="single"/>
        </w:rPr>
        <w:t>:</w:t>
      </w:r>
    </w:p>
    <w:p w:rsidR="00195E59" w:rsidRDefault="002F296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1. Condiții generale: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are cetățenia română, cetățenie a altor state membre ale Uniunii Europene sau a statelor aparținând Spațiului Economic European și domiciliul î</w:t>
      </w:r>
      <w:bookmarkStart w:id="0" w:name="_GoBack"/>
      <w:bookmarkEnd w:id="0"/>
      <w:r>
        <w:rPr>
          <w:color w:val="000000"/>
        </w:rPr>
        <w:t>n România;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cunoaște limba română, scris și vorbit;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are vârsta minimă reglementată de prevederile legale;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are capacitate deplină de exercițiu;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>are o stare de sănătate corespunzătoare postului pentru care candidează, atestată pe baza declaratiei pe propria raspundere;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color w:val="000000"/>
        </w:rPr>
      </w:pPr>
    </w:p>
    <w:p w:rsidR="00195E59" w:rsidRDefault="002F296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2. Condiţii specifice: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nivelul studiilor:</w:t>
      </w:r>
      <w:r>
        <w:rPr>
          <w:color w:val="000000"/>
        </w:rPr>
        <w:t xml:space="preserve"> licență</w:t>
      </w:r>
      <w:r w:rsidR="00F36490">
        <w:rPr>
          <w:color w:val="000000"/>
        </w:rPr>
        <w:t>, contract pentru studii de doctorat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domeniul studiilor:</w:t>
      </w:r>
      <w:r>
        <w:rPr>
          <w:color w:val="000000"/>
        </w:rPr>
        <w:t xml:space="preserve"> economic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vechime</w:t>
      </w:r>
      <w:r>
        <w:rPr>
          <w:color w:val="000000"/>
        </w:rPr>
        <w:t xml:space="preserve">: </w:t>
      </w:r>
      <w:r w:rsidR="00F36490">
        <w:rPr>
          <w:color w:val="000000"/>
        </w:rPr>
        <w:t>-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alte condiții specifice (cunoaşterea unei limbi străine, cunoştinţe operare PC, alte abilităţi şi deprinderi, etc.): 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cunoştinţe operare PC;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cunoaşterea unei limbi străine;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capacitate de lucru în echipă;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rezistență la stres;</w:t>
      </w:r>
    </w:p>
    <w:p w:rsidR="00195E59" w:rsidRPr="00F36490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spirit de inițiativă</w:t>
      </w:r>
      <w:r w:rsidR="00F36490">
        <w:rPr>
          <w:color w:val="000000"/>
          <w:lang w:val="en-GB"/>
        </w:rPr>
        <w:t>;</w:t>
      </w:r>
    </w:p>
    <w:p w:rsidR="00F36490" w:rsidRDefault="00F3649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experien</w:t>
      </w:r>
      <w:r>
        <w:rPr>
          <w:color w:val="000000"/>
          <w:lang w:val="ro-RO"/>
        </w:rPr>
        <w:t>ță în finanțare, modelare, politică monetară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195E59" w:rsidRDefault="002F29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3. Atribuții post:</w:t>
      </w:r>
    </w:p>
    <w:p w:rsidR="00195E59" w:rsidRDefault="002F29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Participă la gestionarea documentelor rezultate din activitățile proiectului, în conformitate cu prevederile legale specifice proiectelor de dezvoltare instituțională;</w:t>
      </w:r>
    </w:p>
    <w:p w:rsidR="00195E59" w:rsidRDefault="002F29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4"/>
        <w:jc w:val="both"/>
      </w:pPr>
      <w:r>
        <w:rPr>
          <w:color w:val="000000"/>
        </w:rPr>
        <w:t>Participarea la organizarea evenimentelor derulate în cadrul proiectului;</w:t>
      </w:r>
    </w:p>
    <w:p w:rsidR="00195E59" w:rsidRDefault="002F296F">
      <w:pPr>
        <w:numPr>
          <w:ilvl w:val="0"/>
          <w:numId w:val="8"/>
        </w:numPr>
        <w:spacing w:line="276" w:lineRule="auto"/>
        <w:jc w:val="both"/>
      </w:pPr>
      <w:r>
        <w:t>Asigura respectarea metodologiilor şi procedurilor specifice proiectului;</w:t>
      </w:r>
    </w:p>
    <w:p w:rsidR="00195E59" w:rsidRDefault="002F296F">
      <w:pPr>
        <w:numPr>
          <w:ilvl w:val="0"/>
          <w:numId w:val="8"/>
        </w:numPr>
        <w:spacing w:line="276" w:lineRule="auto"/>
        <w:jc w:val="both"/>
      </w:pPr>
      <w:r>
        <w:t xml:space="preserve">Integrează și armonizează activităţile proiectului cu activitățile ASE Bucureşti; </w:t>
      </w:r>
    </w:p>
    <w:p w:rsidR="00195E59" w:rsidRDefault="002F296F">
      <w:pPr>
        <w:numPr>
          <w:ilvl w:val="0"/>
          <w:numId w:val="8"/>
        </w:numPr>
        <w:spacing w:line="276" w:lineRule="auto"/>
        <w:jc w:val="both"/>
      </w:pPr>
      <w:r>
        <w:t>Asigură comunicarea cu membrii echipei de proiect în vederea implementării activităților proiectului.</w:t>
      </w:r>
    </w:p>
    <w:p w:rsidR="00195E59" w:rsidRDefault="002F296F">
      <w:pPr>
        <w:numPr>
          <w:ilvl w:val="0"/>
          <w:numId w:val="8"/>
        </w:numPr>
        <w:tabs>
          <w:tab w:val="left" w:pos="720"/>
        </w:tabs>
        <w:jc w:val="both"/>
        <w:rPr>
          <w:color w:val="0D0D0D"/>
        </w:rPr>
      </w:pPr>
      <w:r>
        <w:rPr>
          <w:color w:val="0D0D0D"/>
        </w:rPr>
        <w:t>R</w:t>
      </w:r>
      <w: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195E59" w:rsidRDefault="002F296F">
      <w:pPr>
        <w:numPr>
          <w:ilvl w:val="0"/>
          <w:numId w:val="8"/>
        </w:numPr>
        <w:tabs>
          <w:tab w:val="left" w:pos="720"/>
        </w:tabs>
        <w:jc w:val="both"/>
        <w:rPr>
          <w:color w:val="0D0D0D"/>
        </w:rPr>
      </w:pPr>
      <w:r>
        <w:rPr>
          <w:color w:val="0D0D0D"/>
        </w:rPr>
        <w:t>A</w:t>
      </w:r>
      <w:r>
        <w:t>lte sarcini, stabilite de către directorul proiectului și de conducerea Academiei de Studii Economice din București, necesare pentru implementarea corespunzătoare a proiectului.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195E59" w:rsidRDefault="002F296F">
      <w:pPr>
        <w:spacing w:line="276" w:lineRule="auto"/>
        <w:ind w:left="720"/>
        <w:jc w:val="both"/>
      </w:pPr>
      <w:r>
        <w:t>Sarcinile de serviciu nu sunt limitative, se vor completa ori de cate ori este nevoie, pentru bunul mers al activității în cadrul proiectului.</w:t>
      </w:r>
    </w:p>
    <w:p w:rsidR="00195E59" w:rsidRDefault="00195E59">
      <w:pPr>
        <w:spacing w:line="276" w:lineRule="auto"/>
        <w:jc w:val="both"/>
      </w:pPr>
    </w:p>
    <w:p w:rsidR="00195E59" w:rsidRDefault="002F296F">
      <w:pPr>
        <w:spacing w:after="120"/>
        <w:jc w:val="both"/>
        <w:rPr>
          <w:b/>
          <w:u w:val="single"/>
        </w:rPr>
      </w:pPr>
      <w:r>
        <w:rPr>
          <w:b/>
        </w:rPr>
        <w:t xml:space="preserve">B. </w:t>
      </w:r>
      <w:r>
        <w:rPr>
          <w:b/>
          <w:u w:val="single"/>
        </w:rPr>
        <w:t>Concursul va consta în:</w:t>
      </w:r>
    </w:p>
    <w:p w:rsidR="00195E59" w:rsidRDefault="00195E59">
      <w:pPr>
        <w:spacing w:after="120"/>
        <w:jc w:val="both"/>
        <w:rPr>
          <w:b/>
        </w:rPr>
      </w:pPr>
    </w:p>
    <w:p w:rsidR="00195E59" w:rsidRDefault="002F29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Evaluarea dosarelor de selecție</w:t>
      </w:r>
    </w:p>
    <w:p w:rsidR="00195E59" w:rsidRDefault="002F29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Interviu: interviul de specialitate se va desfăşura în data de </w:t>
      </w:r>
      <w:r w:rsidR="00A47149">
        <w:rPr>
          <w:b/>
          <w:color w:val="000000"/>
        </w:rPr>
        <w:t>20</w:t>
      </w:r>
      <w:r>
        <w:rPr>
          <w:b/>
          <w:color w:val="000000"/>
        </w:rPr>
        <w:t>.0</w:t>
      </w:r>
      <w:r w:rsidR="00A47149">
        <w:rPr>
          <w:b/>
          <w:color w:val="000000"/>
        </w:rPr>
        <w:t>7</w:t>
      </w:r>
      <w:r>
        <w:rPr>
          <w:b/>
          <w:color w:val="000000"/>
        </w:rPr>
        <w:t>.20</w:t>
      </w:r>
      <w:r w:rsidR="00A47149">
        <w:rPr>
          <w:b/>
          <w:color w:val="000000"/>
        </w:rPr>
        <w:t>23</w:t>
      </w:r>
      <w:r>
        <w:rPr>
          <w:b/>
          <w:color w:val="000000"/>
        </w:rPr>
        <w:t xml:space="preserve">, începând cu ora 13.00, </w:t>
      </w:r>
      <w:r w:rsidR="004A20DA">
        <w:rPr>
          <w:b/>
          <w:color w:val="000000"/>
        </w:rPr>
        <w:t>la sediul Academiei de Studii Economice din București</w:t>
      </w:r>
      <w:r>
        <w:rPr>
          <w:b/>
          <w:color w:val="000000"/>
        </w:rPr>
        <w:t xml:space="preserve">. Accesul la concurs se va face în baza cărţii de identitate în original.  </w:t>
      </w:r>
    </w:p>
    <w:p w:rsidR="00195E59" w:rsidRDefault="002F296F">
      <w:pPr>
        <w:spacing w:after="120"/>
        <w:jc w:val="both"/>
      </w:pPr>
      <w:r>
        <w:t>Probele sunt eliminatorii, punctajul minim obţinut la fiecare probă fiind de 50 de puncte.</w:t>
      </w:r>
    </w:p>
    <w:p w:rsidR="00195E59" w:rsidRDefault="00195E59">
      <w:pPr>
        <w:spacing w:after="120"/>
        <w:jc w:val="both"/>
        <w:rPr>
          <w:b/>
        </w:rPr>
      </w:pPr>
    </w:p>
    <w:p w:rsidR="00195E59" w:rsidRDefault="002F296F">
      <w:pPr>
        <w:spacing w:after="120"/>
        <w:jc w:val="both"/>
        <w:rPr>
          <w:b/>
        </w:rPr>
      </w:pPr>
      <w:r>
        <w:rPr>
          <w:b/>
        </w:rPr>
        <w:t xml:space="preserve">C. </w:t>
      </w:r>
      <w:r>
        <w:rPr>
          <w:b/>
          <w:u w:val="single"/>
        </w:rPr>
        <w:t>Tematica și bibliografia</w:t>
      </w:r>
    </w:p>
    <w:p w:rsidR="00195E59" w:rsidRDefault="002F2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Tematica: </w:t>
      </w:r>
    </w:p>
    <w:p w:rsidR="00195E59" w:rsidRDefault="002F29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Întocmirea și gestiunea documentelor specifice unui proiect.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:rsidR="00195E59" w:rsidRDefault="002F2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Bibliografie: </w:t>
      </w:r>
    </w:p>
    <w:p w:rsidR="00195E59" w:rsidRDefault="002F29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color w:val="000000"/>
        </w:rPr>
      </w:pPr>
      <w:r>
        <w:rPr>
          <w:color w:val="000000"/>
        </w:rPr>
        <w:t>Carta ASE disponibilă la: https://www.ase.ro/ase_responsive/Metodologii/carta.pdf</w:t>
      </w:r>
    </w:p>
    <w:p w:rsidR="00195E59" w:rsidRDefault="00FC5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73"/>
        <w:jc w:val="both"/>
        <w:rPr>
          <w:color w:val="000000"/>
        </w:rPr>
      </w:pPr>
      <w:hyperlink r:id="rId8">
        <w:r w:rsidR="002F296F">
          <w:rPr>
            <w:color w:val="000000"/>
          </w:rPr>
          <w:t>Regulament privind organizarea, funcționarea și finanțarea cercetării științifice</w:t>
        </w:r>
      </w:hyperlink>
    </w:p>
    <w:p w:rsidR="00195E59" w:rsidRDefault="00FC5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73"/>
        <w:jc w:val="both"/>
        <w:rPr>
          <w:color w:val="000000"/>
        </w:rPr>
      </w:pPr>
      <w:hyperlink r:id="rId9">
        <w:r w:rsidR="002F296F">
          <w:rPr>
            <w:color w:val="000000"/>
          </w:rPr>
          <w:t>Procedura privind derularea proiectelor de cercetare</w:t>
        </w:r>
      </w:hyperlink>
    </w:p>
    <w:p w:rsidR="00195E59" w:rsidRDefault="00FC5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 w:hanging="273"/>
        <w:jc w:val="both"/>
        <w:rPr>
          <w:color w:val="000000"/>
        </w:rPr>
      </w:pPr>
      <w:hyperlink r:id="rId10">
        <w:r w:rsidR="002F296F">
          <w:rPr>
            <w:color w:val="000000"/>
          </w:rPr>
          <w:t>Procedura privind modul de înregistrare a rezultatelor activității de cercetare-dezvoltare în ASE</w:t>
        </w:r>
      </w:hyperlink>
    </w:p>
    <w:p w:rsidR="00195E59" w:rsidRDefault="002F296F">
      <w:pPr>
        <w:spacing w:after="120"/>
        <w:jc w:val="both"/>
      </w:pPr>
      <w:r>
        <w:rPr>
          <w:b/>
        </w:rPr>
        <w:t xml:space="preserve">D. </w:t>
      </w:r>
      <w:r>
        <w:rPr>
          <w:u w:val="single"/>
        </w:rPr>
        <w:t>Componența dosarului de concurs</w:t>
      </w:r>
      <w:r>
        <w:t>:</w:t>
      </w:r>
    </w:p>
    <w:p w:rsidR="00195E59" w:rsidRDefault="00195E59">
      <w:pPr>
        <w:spacing w:after="120"/>
        <w:jc w:val="both"/>
      </w:pP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Opis.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Cerere de înscriere la concurs adresată Rectorului ASE.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actului de identitate sau orice alt document care atestă identitatea, potrivit legii, după caz.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certificat de căsătorie sau dovada schimbării numelui, în cazul în care candidatul şi-a schimbat numele (dovada schimbării numelui).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Copie după carnetul de muncă, sau, după caz, adeverințele care atestă vechimea în muncă, în meserie și / sau în specialitatea studiilor. 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Cazierul judiciar sau o declaraţie pe propria răspundere că nu are antecedente penale care să-l facă incompatibil cu funcţia pentru care candidează. 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</w:t>
      </w:r>
      <w:r>
        <w:t>dacă</w:t>
      </w:r>
      <w:r>
        <w:rPr>
          <w:color w:val="000000"/>
        </w:rPr>
        <w:t xml:space="preserve"> este cazul.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Curriculum vitae în format european (</w:t>
      </w:r>
      <w:r>
        <w:rPr>
          <w:color w:val="0000FF"/>
        </w:rPr>
        <w:t xml:space="preserve">www.cveuropean.ro/cv- online.html) </w:t>
      </w:r>
      <w:r>
        <w:rPr>
          <w:color w:val="000000"/>
        </w:rPr>
        <w:t>– semnat şi datat pe fiecare pagină.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Alte documente relevante pentru desfăşurarea concursului.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color w:val="000000"/>
        </w:rPr>
      </w:pPr>
    </w:p>
    <w:p w:rsidR="00195E59" w:rsidRDefault="002F296F">
      <w:pPr>
        <w:spacing w:after="120" w:line="276" w:lineRule="auto"/>
        <w:jc w:val="both"/>
      </w:pPr>
      <w:r>
        <w:t xml:space="preserve">Actele prevăzute la pct. 3, 4, 5 și 7 vor fi prezentate şi în original, în vederea verificării conformităţii copiilor cu acestea. </w:t>
      </w:r>
    </w:p>
    <w:p w:rsidR="00195E59" w:rsidRDefault="00195E59">
      <w:pPr>
        <w:spacing w:after="120" w:line="276" w:lineRule="auto"/>
        <w:jc w:val="both"/>
      </w:pPr>
    </w:p>
    <w:p w:rsidR="00195E59" w:rsidRDefault="002F296F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195E59" w:rsidRDefault="002F296F">
      <w:pPr>
        <w:jc w:val="both"/>
      </w:pPr>
      <w:bookmarkStart w:id="1" w:name="_heading=h.gjdgxs" w:colFirst="0" w:colLast="0"/>
      <w:bookmarkEnd w:id="1"/>
      <w:r>
        <w:t>Dosarele de concurs se vor depune pâ</w:t>
      </w:r>
      <w:r w:rsidR="007C1BFF">
        <w:t xml:space="preserve">nă la data de </w:t>
      </w:r>
      <w:r w:rsidR="00A47149">
        <w:t>14</w:t>
      </w:r>
      <w:r w:rsidR="007C1BFF">
        <w:t>.0</w:t>
      </w:r>
      <w:r w:rsidR="00A47149">
        <w:t>7</w:t>
      </w:r>
      <w:r w:rsidR="007C1BFF">
        <w:t>.202</w:t>
      </w:r>
      <w:r w:rsidR="00A47149">
        <w:t>3</w:t>
      </w:r>
      <w:r w:rsidR="007C1BFF">
        <w:t xml:space="preserve"> ora 1</w:t>
      </w:r>
      <w:r w:rsidR="00A47149">
        <w:t>3</w:t>
      </w:r>
      <w:r w:rsidR="007C1BFF">
        <w:t>:</w:t>
      </w:r>
      <w:r w:rsidR="00A47149">
        <w:t>30</w:t>
      </w:r>
      <w:r>
        <w:t>, la Registratura ASE.</w:t>
      </w:r>
    </w:p>
    <w:p w:rsidR="00195E59" w:rsidRDefault="002F296F">
      <w:pPr>
        <w:jc w:val="both"/>
      </w:pPr>
      <w:r>
        <w:t>Relaţii suplimentare se pot obţine zilnic la telefon: 072</w:t>
      </w:r>
      <w:r w:rsidR="00A47149">
        <w:t>1</w:t>
      </w:r>
      <w:r>
        <w:t xml:space="preserve"> </w:t>
      </w:r>
      <w:r w:rsidR="00A47149">
        <w:t>276 706</w:t>
      </w:r>
      <w:r>
        <w:t xml:space="preserve"> –</w:t>
      </w:r>
      <w:r w:rsidR="00A47149">
        <w:t xml:space="preserve"> Adrian Călin Cantemir</w:t>
      </w:r>
    </w:p>
    <w:p w:rsidR="00195E59" w:rsidRDefault="00195E59">
      <w:pPr>
        <w:spacing w:after="120"/>
        <w:jc w:val="both"/>
      </w:pPr>
    </w:p>
    <w:p w:rsidR="00195E59" w:rsidRDefault="00195E59">
      <w:pPr>
        <w:spacing w:after="120"/>
        <w:jc w:val="both"/>
      </w:pPr>
    </w:p>
    <w:p w:rsidR="00C775C6" w:rsidRDefault="00C775C6">
      <w:pPr>
        <w:spacing w:after="120"/>
        <w:jc w:val="both"/>
      </w:pPr>
    </w:p>
    <w:p w:rsidR="00195E59" w:rsidRDefault="002F296F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 xml:space="preserve">: </w:t>
      </w:r>
    </w:p>
    <w:tbl>
      <w:tblPr>
        <w:tblStyle w:val="a0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346"/>
        <w:gridCol w:w="3468"/>
      </w:tblGrid>
      <w:tr w:rsidR="00195E5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2F29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95E59" w:rsidRDefault="002F29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.0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.202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7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56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.0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.202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.0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.202</w:t>
            </w:r>
            <w:r w:rsidR="00A47149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65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.2022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195E59" w:rsidRDefault="00A471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.0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2F296F">
              <w:rPr>
                <w:rFonts w:ascii="Arial" w:eastAsia="Arial" w:hAnsi="Arial" w:cs="Arial"/>
                <w:sz w:val="22"/>
                <w:szCs w:val="22"/>
              </w:rPr>
              <w:t>.2022</w:t>
            </w:r>
          </w:p>
        </w:tc>
      </w:tr>
      <w:tr w:rsidR="00195E59">
        <w:trPr>
          <w:trHeight w:val="70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După aprobarea în BCA a rezultatelor concursului</w:t>
            </w:r>
          </w:p>
        </w:tc>
      </w:tr>
    </w:tbl>
    <w:p w:rsidR="00195E59" w:rsidRDefault="00195E59">
      <w:pPr>
        <w:spacing w:after="120"/>
        <w:jc w:val="both"/>
      </w:pPr>
    </w:p>
    <w:p w:rsidR="00195E59" w:rsidRDefault="00195E59">
      <w:pPr>
        <w:spacing w:after="120"/>
        <w:jc w:val="both"/>
      </w:pPr>
    </w:p>
    <w:p w:rsidR="00195E59" w:rsidRDefault="002F296F">
      <w:pPr>
        <w:spacing w:after="120"/>
        <w:jc w:val="both"/>
      </w:pPr>
      <w:r>
        <w:t xml:space="preserve">Data: </w:t>
      </w:r>
      <w:r w:rsidR="00A47149">
        <w:t>07</w:t>
      </w:r>
      <w:r>
        <w:t>.0</w:t>
      </w:r>
      <w:r w:rsidR="00A47149">
        <w:t>7</w:t>
      </w:r>
      <w:r>
        <w:t>.202</w:t>
      </w:r>
      <w:r w:rsidR="00A47149">
        <w:t>3</w:t>
      </w:r>
    </w:p>
    <w:p w:rsidR="00195E59" w:rsidRDefault="002F296F">
      <w:pPr>
        <w:spacing w:after="120"/>
        <w:jc w:val="both"/>
      </w:pPr>
      <w:r>
        <w:t xml:space="preserve">Responsabil de proiect </w:t>
      </w:r>
    </w:p>
    <w:p w:rsidR="00195E59" w:rsidRDefault="00A47149">
      <w:pPr>
        <w:spacing w:after="120"/>
        <w:jc w:val="both"/>
      </w:pPr>
      <w:r>
        <w:t xml:space="preserve">Prof.univ.dr. Adrian Cantemir Călin </w:t>
      </w:r>
    </w:p>
    <w:p w:rsidR="00195E59" w:rsidRDefault="00195E59">
      <w:pPr>
        <w:pStyle w:val="Heading1"/>
        <w:rPr>
          <w:sz w:val="24"/>
        </w:rPr>
      </w:pPr>
    </w:p>
    <w:p w:rsidR="00195E59" w:rsidRDefault="00195E59">
      <w:pPr>
        <w:spacing w:line="360" w:lineRule="auto"/>
      </w:pPr>
    </w:p>
    <w:sectPr w:rsidR="00195E59">
      <w:headerReference w:type="default" r:id="rId11"/>
      <w:footerReference w:type="default" r:id="rId12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149" w:rsidRDefault="00FC5149">
      <w:r>
        <w:separator/>
      </w:r>
    </w:p>
  </w:endnote>
  <w:endnote w:type="continuationSeparator" w:id="0">
    <w:p w:rsidR="00FC5149" w:rsidRDefault="00FC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59" w:rsidRDefault="002F29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C1BFF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195E59" w:rsidRDefault="00195E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149" w:rsidRDefault="00FC5149">
      <w:r>
        <w:separator/>
      </w:r>
    </w:p>
  </w:footnote>
  <w:footnote w:type="continuationSeparator" w:id="0">
    <w:p w:rsidR="00FC5149" w:rsidRDefault="00FC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59" w:rsidRDefault="00195E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6785" w:type="dxa"/>
      <w:tblInd w:w="2878" w:type="dxa"/>
      <w:tblLayout w:type="fixed"/>
      <w:tblLook w:val="0400" w:firstRow="0" w:lastRow="0" w:firstColumn="0" w:lastColumn="0" w:noHBand="0" w:noVBand="1"/>
    </w:tblPr>
    <w:tblGrid>
      <w:gridCol w:w="6785"/>
    </w:tblGrid>
    <w:tr w:rsidR="00195E59">
      <w:trPr>
        <w:trHeight w:val="363"/>
      </w:trPr>
      <w:tc>
        <w:tcPr>
          <w:tcW w:w="6785" w:type="dxa"/>
          <w:tcBorders>
            <w:bottom w:val="single" w:sz="4" w:space="0" w:color="000000"/>
          </w:tcBorders>
          <w:shd w:val="clear" w:color="auto" w:fill="auto"/>
        </w:tcPr>
        <w:p w:rsidR="00195E59" w:rsidRDefault="00FC5149">
          <w:pPr>
            <w:spacing w:line="360" w:lineRule="auto"/>
            <w:jc w:val="center"/>
          </w:pPr>
          <w:sdt>
            <w:sdtPr>
              <w:tag w:val="goog_rdk_0"/>
              <w:id w:val="624591395"/>
            </w:sdtPr>
            <w:sdtEndPr/>
            <w:sdtContent>
              <w:r w:rsidR="002F296F">
                <w:rPr>
                  <w:rFonts w:ascii="Arial" w:eastAsia="Arial" w:hAnsi="Arial" w:cs="Arial"/>
                  <w:b/>
                  <w:color w:val="002060"/>
                </w:rPr>
                <w:t>MINISTERUL EDUCAȚIEI NAȚIONALE</w:t>
              </w:r>
            </w:sdtContent>
          </w:sdt>
        </w:p>
      </w:tc>
    </w:tr>
    <w:tr w:rsidR="00195E59">
      <w:trPr>
        <w:trHeight w:val="1379"/>
      </w:trPr>
      <w:tc>
        <w:tcPr>
          <w:tcW w:w="6785" w:type="dxa"/>
          <w:tcBorders>
            <w:top w:val="single" w:sz="4" w:space="0" w:color="000000"/>
            <w:bottom w:val="single" w:sz="8" w:space="0" w:color="000000"/>
          </w:tcBorders>
          <w:shd w:val="clear" w:color="auto" w:fill="auto"/>
        </w:tcPr>
        <w:p w:rsidR="00195E59" w:rsidRDefault="00FC5149">
          <w:pPr>
            <w:pStyle w:val="Heading1"/>
            <w:spacing w:before="120" w:line="360" w:lineRule="auto"/>
            <w:rPr>
              <w:rFonts w:ascii="PT Sans" w:eastAsia="PT Sans" w:hAnsi="PT Sans" w:cs="PT Sans"/>
              <w:color w:val="002060"/>
              <w:sz w:val="24"/>
            </w:rPr>
          </w:pPr>
          <w:sdt>
            <w:sdtPr>
              <w:tag w:val="goog_rdk_1"/>
              <w:id w:val="-874932047"/>
            </w:sdtPr>
            <w:sdtEndPr/>
            <w:sdtContent>
              <w:r w:rsidR="002F296F">
                <w:rPr>
                  <w:rFonts w:ascii="Arial" w:eastAsia="Arial" w:hAnsi="Arial" w:cs="Arial"/>
                  <w:color w:val="002060"/>
                  <w:sz w:val="24"/>
                </w:rPr>
                <w:t>ACADEMIA DE STUDII ECONOMICE DIN BUCUREȘTI</w:t>
              </w:r>
            </w:sdtContent>
          </w:sdt>
        </w:p>
        <w:p w:rsidR="00195E59" w:rsidRDefault="002F29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Piața Romană nr. 6, sector 1, București, cod 010374, România</w:t>
          </w:r>
        </w:p>
        <w:p w:rsidR="00195E59" w:rsidRDefault="002F29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195E59" w:rsidRDefault="002F296F">
          <w:pP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e-mail: </w:t>
          </w:r>
          <w:hyperlink r:id="rId1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rectorat@ase.ro</w:t>
            </w:r>
          </w:hyperlink>
          <w:r>
            <w:rPr>
              <w:rFonts w:ascii="Arial" w:eastAsia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:rsidR="00195E59" w:rsidRDefault="002F296F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-120014</wp:posOffset>
          </wp:positionH>
          <wp:positionV relativeFrom="paragraph">
            <wp:posOffset>-1129250</wp:posOffset>
          </wp:positionV>
          <wp:extent cx="1473200" cy="9296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20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5E59" w:rsidRDefault="00195E59">
    <w:pPr>
      <w:pBdr>
        <w:top w:val="single" w:sz="18" w:space="1" w:color="0000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4E"/>
    <w:multiLevelType w:val="multilevel"/>
    <w:tmpl w:val="EE365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9D7"/>
    <w:multiLevelType w:val="multilevel"/>
    <w:tmpl w:val="087C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4EFA"/>
    <w:multiLevelType w:val="multilevel"/>
    <w:tmpl w:val="27322F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3A4E"/>
    <w:multiLevelType w:val="multilevel"/>
    <w:tmpl w:val="1A2A33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2692"/>
    <w:multiLevelType w:val="multilevel"/>
    <w:tmpl w:val="C302BA12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1C7957"/>
    <w:multiLevelType w:val="multilevel"/>
    <w:tmpl w:val="8EDAA5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4FAF"/>
    <w:multiLevelType w:val="multilevel"/>
    <w:tmpl w:val="885A596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B363B0"/>
    <w:multiLevelType w:val="multilevel"/>
    <w:tmpl w:val="50285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625E"/>
    <w:multiLevelType w:val="multilevel"/>
    <w:tmpl w:val="E1BEE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59"/>
    <w:rsid w:val="00195E59"/>
    <w:rsid w:val="002F296F"/>
    <w:rsid w:val="004A20DA"/>
    <w:rsid w:val="005A4CD3"/>
    <w:rsid w:val="007C1BFF"/>
    <w:rsid w:val="00992E3F"/>
    <w:rsid w:val="00A47149"/>
    <w:rsid w:val="00AF2A9C"/>
    <w:rsid w:val="00C775C6"/>
    <w:rsid w:val="00DF349F"/>
    <w:rsid w:val="00F36490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250C"/>
  <w15:docId w15:val="{919EA8E6-C5A4-4CCE-96E2-C330CCF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BE76CC"/>
    <w:rPr>
      <w:sz w:val="24"/>
      <w:szCs w:val="24"/>
      <w:lang w:val="ro-RO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ectorat@crc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/Ebu/sZ21JLO6z8rfxYxPEpmMA==">AMUW2mVoSqGwm4r188g2RqwcR9cJRJvEg0ULeRePyP5nDN1G5joTWFi0pde9qP/06rDq7EdPhkhvpxwDWArc3lsZSpnkOu5X1aDhH2K1zFJ+zauhL+p0+Bn3crYZTEoPSh9SQU/4LCs15v1ICEwUujp/l+u2ENXinVO9AtIOdzDtEWx/Vy3plfPRxFNeOwbBFcY6RNSNNm5R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Romania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Ion Panescu</cp:lastModifiedBy>
  <cp:revision>7</cp:revision>
  <dcterms:created xsi:type="dcterms:W3CDTF">2021-05-26T08:03:00Z</dcterms:created>
  <dcterms:modified xsi:type="dcterms:W3CDTF">2023-07-13T09:23:00Z</dcterms:modified>
</cp:coreProperties>
</file>